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354AB" w14:textId="51522DF3" w:rsidR="00973B6F" w:rsidRPr="00AE6929" w:rsidRDefault="00D35B96" w:rsidP="0089392B">
      <w:pPr>
        <w:jc w:val="both"/>
        <w:rPr>
          <w:rFonts w:ascii="Mute Light" w:hAnsi="Mute Light" w:cs="Arial"/>
          <w:b/>
          <w:sz w:val="24"/>
          <w:szCs w:val="24"/>
        </w:rPr>
      </w:pPr>
      <w:r w:rsidRPr="00D35B96">
        <w:rPr>
          <w:rFonts w:ascii="Mute Light" w:hAnsi="Mute Light" w:cs="Arial"/>
          <w:b/>
          <w:sz w:val="24"/>
          <w:szCs w:val="24"/>
        </w:rPr>
        <w:t>Stag Brewing Pension Plan</w:t>
      </w:r>
      <w:r w:rsidR="00E46886">
        <w:rPr>
          <w:rFonts w:ascii="Mute Light" w:hAnsi="Mute Light" w:cs="Arial"/>
          <w:b/>
          <w:sz w:val="24"/>
          <w:szCs w:val="24"/>
        </w:rPr>
        <w:t xml:space="preserve"> </w:t>
      </w:r>
      <w:r w:rsidR="009E0E3F" w:rsidRPr="00AE6929">
        <w:rPr>
          <w:rFonts w:ascii="Mute Light" w:hAnsi="Mute Light" w:cs="Arial"/>
          <w:b/>
          <w:sz w:val="24"/>
          <w:szCs w:val="24"/>
        </w:rPr>
        <w:t>– Annual Engagement Policy Implementation Statement</w:t>
      </w:r>
    </w:p>
    <w:p w14:paraId="08528E8F" w14:textId="1EA9D757" w:rsidR="00B551B9" w:rsidRPr="0020206D" w:rsidRDefault="009E0E3F" w:rsidP="0089392B">
      <w:pPr>
        <w:jc w:val="both"/>
        <w:rPr>
          <w:rFonts w:ascii="Mute Light" w:hAnsi="Mute Light" w:cs="Arial"/>
          <w:b/>
          <w:u w:val="single"/>
        </w:rPr>
      </w:pPr>
      <w:r w:rsidRPr="0020206D">
        <w:rPr>
          <w:rFonts w:ascii="Mute Light" w:hAnsi="Mute Light" w:cs="Arial"/>
          <w:b/>
          <w:u w:val="single"/>
        </w:rPr>
        <w:t>Introduction</w:t>
      </w:r>
    </w:p>
    <w:p w14:paraId="144CED2E" w14:textId="134C79F6" w:rsidR="009E0E3F" w:rsidRPr="00F24306" w:rsidRDefault="009E0E3F" w:rsidP="0020206D">
      <w:pPr>
        <w:jc w:val="both"/>
        <w:rPr>
          <w:rFonts w:ascii="Mute Light" w:hAnsi="Mute Light" w:cs="Arial"/>
        </w:rPr>
      </w:pPr>
      <w:r w:rsidRPr="00F24306">
        <w:rPr>
          <w:rFonts w:ascii="Mute Light" w:hAnsi="Mute Light" w:cs="Arial"/>
        </w:rPr>
        <w:t xml:space="preserve">This statement sets out how, and the extent to which, the </w:t>
      </w:r>
      <w:r w:rsidR="0039564D" w:rsidRPr="00F24306">
        <w:rPr>
          <w:rFonts w:ascii="Mute Light" w:hAnsi="Mute Light" w:cs="Arial"/>
        </w:rPr>
        <w:t>Trustee</w:t>
      </w:r>
      <w:r w:rsidR="005F0F75" w:rsidRPr="00F24306">
        <w:rPr>
          <w:rFonts w:ascii="Mute Light" w:hAnsi="Mute Light" w:cs="Arial"/>
        </w:rPr>
        <w:t>’s</w:t>
      </w:r>
      <w:r w:rsidR="0039564D" w:rsidRPr="00F24306">
        <w:rPr>
          <w:rFonts w:ascii="Mute Light" w:hAnsi="Mute Light" w:cs="Arial"/>
        </w:rPr>
        <w:t xml:space="preserve"> p</w:t>
      </w:r>
      <w:r w:rsidRPr="00F24306">
        <w:rPr>
          <w:rFonts w:ascii="Mute Light" w:hAnsi="Mute Light" w:cs="Arial"/>
        </w:rPr>
        <w:t>olicy</w:t>
      </w:r>
      <w:r w:rsidR="00ED4AF2" w:rsidRPr="00F24306">
        <w:rPr>
          <w:rFonts w:ascii="Mute Light" w:hAnsi="Mute Light" w:cs="Arial"/>
        </w:rPr>
        <w:t xml:space="preserve"> on </w:t>
      </w:r>
      <w:r w:rsidR="0089392B" w:rsidRPr="00F24306">
        <w:rPr>
          <w:rFonts w:ascii="Mute Light" w:hAnsi="Mute Light" w:cs="Arial"/>
        </w:rPr>
        <w:t>Environmental</w:t>
      </w:r>
      <w:r w:rsidR="00ED4AF2" w:rsidRPr="00F24306">
        <w:rPr>
          <w:rFonts w:ascii="Mute Light" w:hAnsi="Mute Light" w:cs="Arial"/>
        </w:rPr>
        <w:t>,</w:t>
      </w:r>
      <w:r w:rsidR="0089392B" w:rsidRPr="00F24306">
        <w:rPr>
          <w:rFonts w:ascii="Mute Light" w:hAnsi="Mute Light" w:cs="Arial"/>
        </w:rPr>
        <w:t xml:space="preserve"> Social and Governance (“ESG”),</w:t>
      </w:r>
      <w:r w:rsidR="00ED4AF2" w:rsidRPr="00F24306">
        <w:rPr>
          <w:rFonts w:ascii="Mute Light" w:hAnsi="Mute Light" w:cs="Arial"/>
        </w:rPr>
        <w:t xml:space="preserve"> Stewardship and Climate Change</w:t>
      </w:r>
      <w:r w:rsidR="00C54660" w:rsidRPr="00F24306">
        <w:rPr>
          <w:rFonts w:ascii="Mute Light" w:hAnsi="Mute Light" w:cs="Arial"/>
        </w:rPr>
        <w:t xml:space="preserve"> and the Investment Manager arrangements</w:t>
      </w:r>
      <w:r w:rsidRPr="00F24306">
        <w:rPr>
          <w:rFonts w:ascii="Mute Light" w:hAnsi="Mute Light" w:cs="Arial"/>
        </w:rPr>
        <w:t xml:space="preserve"> in the Statement of Investment Principles (</w:t>
      </w:r>
      <w:r w:rsidR="00F74878" w:rsidRPr="00F24306">
        <w:rPr>
          <w:rFonts w:ascii="Mute Light" w:hAnsi="Mute Light" w:cs="Arial"/>
        </w:rPr>
        <w:t>“</w:t>
      </w:r>
      <w:r w:rsidRPr="00F24306">
        <w:rPr>
          <w:rFonts w:ascii="Mute Light" w:hAnsi="Mute Light" w:cs="Arial"/>
        </w:rPr>
        <w:t>SIP</w:t>
      </w:r>
      <w:r w:rsidR="00F74878" w:rsidRPr="00F24306">
        <w:rPr>
          <w:rFonts w:ascii="Mute Light" w:hAnsi="Mute Light" w:cs="Arial"/>
        </w:rPr>
        <w:t>”</w:t>
      </w:r>
      <w:r w:rsidRPr="00F24306">
        <w:rPr>
          <w:rFonts w:ascii="Mute Light" w:hAnsi="Mute Light" w:cs="Arial"/>
        </w:rPr>
        <w:t>) ha</w:t>
      </w:r>
      <w:r w:rsidR="00F74878" w:rsidRPr="00F24306">
        <w:rPr>
          <w:rFonts w:ascii="Mute Light" w:hAnsi="Mute Light" w:cs="Arial"/>
        </w:rPr>
        <w:t>s</w:t>
      </w:r>
      <w:r w:rsidRPr="00F24306">
        <w:rPr>
          <w:rFonts w:ascii="Mute Light" w:hAnsi="Mute Light" w:cs="Arial"/>
        </w:rPr>
        <w:t xml:space="preserve"> been followed during the year to 3</w:t>
      </w:r>
      <w:r w:rsidR="00004A23" w:rsidRPr="00F24306">
        <w:rPr>
          <w:rFonts w:ascii="Mute Light" w:hAnsi="Mute Light" w:cs="Arial"/>
        </w:rPr>
        <w:t>1</w:t>
      </w:r>
      <w:r w:rsidRPr="00F24306">
        <w:rPr>
          <w:rFonts w:ascii="Mute Light" w:hAnsi="Mute Light" w:cs="Arial"/>
        </w:rPr>
        <w:t xml:space="preserve"> </w:t>
      </w:r>
      <w:r w:rsidR="00004A23" w:rsidRPr="00F24306">
        <w:rPr>
          <w:rFonts w:ascii="Mute Light" w:hAnsi="Mute Light" w:cs="Arial"/>
        </w:rPr>
        <w:t>Dec</w:t>
      </w:r>
      <w:r w:rsidR="00200D81" w:rsidRPr="00F24306">
        <w:rPr>
          <w:rFonts w:ascii="Mute Light" w:hAnsi="Mute Light" w:cs="Arial"/>
        </w:rPr>
        <w:t xml:space="preserve">ember </w:t>
      </w:r>
      <w:r w:rsidR="00E21781" w:rsidRPr="00F24306">
        <w:rPr>
          <w:rFonts w:ascii="Mute Light" w:hAnsi="Mute Light" w:cs="Arial"/>
        </w:rPr>
        <w:t>202</w:t>
      </w:r>
      <w:r w:rsidR="00E21781">
        <w:rPr>
          <w:rFonts w:ascii="Mute Light" w:hAnsi="Mute Light" w:cs="Arial"/>
        </w:rPr>
        <w:t>3</w:t>
      </w:r>
      <w:r w:rsidR="00E21781" w:rsidRPr="00F24306">
        <w:rPr>
          <w:rFonts w:ascii="Mute Light" w:hAnsi="Mute Light" w:cs="Arial"/>
        </w:rPr>
        <w:t xml:space="preserve"> </w:t>
      </w:r>
      <w:r w:rsidR="00E46886" w:rsidRPr="00F24306">
        <w:rPr>
          <w:rFonts w:ascii="Mute Light" w:hAnsi="Mute Light" w:cs="Arial"/>
        </w:rPr>
        <w:t xml:space="preserve">in </w:t>
      </w:r>
      <w:r w:rsidR="0037714A" w:rsidRPr="00F24306">
        <w:rPr>
          <w:rFonts w:ascii="Mute Light" w:hAnsi="Mute Light" w:cs="Arial"/>
        </w:rPr>
        <w:t>respect of the D</w:t>
      </w:r>
      <w:r w:rsidR="004D462E" w:rsidRPr="00F24306">
        <w:rPr>
          <w:rFonts w:ascii="Mute Light" w:hAnsi="Mute Light" w:cs="Arial"/>
        </w:rPr>
        <w:t>efined Benefit assets</w:t>
      </w:r>
      <w:r w:rsidR="00E46886" w:rsidRPr="00F24306">
        <w:rPr>
          <w:rFonts w:ascii="Mute Light" w:hAnsi="Mute Light" w:cs="Arial"/>
        </w:rPr>
        <w:t xml:space="preserve"> of the Plan</w:t>
      </w:r>
      <w:r w:rsidRPr="00F24306">
        <w:rPr>
          <w:rFonts w:ascii="Mute Light" w:hAnsi="Mute Light" w:cs="Arial"/>
        </w:rPr>
        <w:t>. This statement has been produced in accordance with The Pension Protection Fund (Pensionable Service) and Occupational Pension Schemes (Investment and Disclosure) (Amendment and Modification) Regulations 2018</w:t>
      </w:r>
      <w:r w:rsidR="00DB686D">
        <w:rPr>
          <w:rFonts w:ascii="Mute Light" w:hAnsi="Mute Light" w:cs="Arial"/>
        </w:rPr>
        <w:t>, the subsequent amendment in the Occupational Pension Schemes (Investment and Disclosure) Regulations 2019</w:t>
      </w:r>
      <w:r w:rsidRPr="00F24306">
        <w:rPr>
          <w:rFonts w:ascii="Mute Light" w:hAnsi="Mute Light" w:cs="Arial"/>
        </w:rPr>
        <w:t xml:space="preserve"> and the guidance published by the Pensions Regulator.</w:t>
      </w:r>
      <w:r w:rsidR="00845625" w:rsidRPr="00F24306">
        <w:rPr>
          <w:rFonts w:ascii="Mute Light" w:hAnsi="Mute Light" w:cs="Arial"/>
        </w:rPr>
        <w:t xml:space="preserve"> </w:t>
      </w:r>
    </w:p>
    <w:p w14:paraId="56694E8B" w14:textId="5425557E" w:rsidR="00E21781" w:rsidRDefault="009E0E3F" w:rsidP="0089392B">
      <w:pPr>
        <w:jc w:val="both"/>
        <w:rPr>
          <w:rFonts w:ascii="Mute Light" w:hAnsi="Mute Light" w:cs="Arial"/>
        </w:rPr>
      </w:pPr>
      <w:r w:rsidRPr="00F24306">
        <w:rPr>
          <w:rFonts w:ascii="Mute Light" w:hAnsi="Mute Light" w:cs="Arial"/>
          <w:b/>
          <w:u w:val="single"/>
        </w:rPr>
        <w:t xml:space="preserve">Investment Objectives of the </w:t>
      </w:r>
      <w:r w:rsidR="005C4599" w:rsidRPr="00F24306">
        <w:rPr>
          <w:rFonts w:ascii="Mute Light" w:hAnsi="Mute Light" w:cs="Arial"/>
          <w:b/>
          <w:u w:val="single"/>
        </w:rPr>
        <w:t>Plan</w:t>
      </w:r>
    </w:p>
    <w:p w14:paraId="3509895E" w14:textId="77777777" w:rsidR="0020206D" w:rsidRPr="0020206D" w:rsidRDefault="0020206D" w:rsidP="0020206D">
      <w:pPr>
        <w:rPr>
          <w:rFonts w:ascii="Mute Light" w:hAnsi="Mute Light" w:cs="Arial"/>
        </w:rPr>
      </w:pPr>
      <w:r w:rsidRPr="0020206D">
        <w:rPr>
          <w:rFonts w:ascii="Mute Light" w:hAnsi="Mute Light" w:cs="Arial"/>
        </w:rPr>
        <w:t xml:space="preserve">The Trustee’s primary objective is to endeavour to meet their obligations to the beneficiaries both in the short and long term, whilst minimising risk as far as possible. To this end, the majority of the Plan assets were used to fund the purchase of a bulk annuity contract with JUST Group Plc (“JUST”). The Trustee entered into the bulk annuity contract with JUST in December 2023 to secure 100% of the Plan’s known liabilities. Under this contract the insurer is obligated to make payments to the Trustee in order to meet the Plan’s liabilities to those beneficiaries insured under the policies. The remainder of the Plan’s assets not used to fund the insurance premium are held in the Legal &amp; General Investment Management (“LGIM”) Sterling Liquidity Fund. </w:t>
      </w:r>
    </w:p>
    <w:p w14:paraId="49E7A04F" w14:textId="77777777" w:rsidR="0020206D" w:rsidRPr="0020206D" w:rsidRDefault="0020206D" w:rsidP="0020206D">
      <w:pPr>
        <w:rPr>
          <w:rFonts w:ascii="Mute Light" w:hAnsi="Mute Light" w:cs="Arial"/>
        </w:rPr>
      </w:pPr>
      <w:r w:rsidRPr="0020206D">
        <w:rPr>
          <w:rFonts w:ascii="Mute Light" w:hAnsi="Mute Light" w:cs="Arial"/>
        </w:rPr>
        <w:t xml:space="preserve">The Trustee’s key objective is to provide pension and lump sum benefits for members on their retirement and/or benefits on death, before or after retirement, for their dependents, on a defined benefit basis. Progressing the Plan to a full buy-out is a strong consideration, and in order to complete a buy-out, the known members’ benefits will need to be secured by means of individual annuity policies directly with the members, in accordance with the terms of the bulk annuity policy. The Plan will then be wound up. The decision to progress towards a buy-out will be at the Trustee and Company’s discretion. </w:t>
      </w:r>
    </w:p>
    <w:p w14:paraId="55FDC346" w14:textId="77777777" w:rsidR="0020206D" w:rsidRPr="0020206D" w:rsidRDefault="0020206D" w:rsidP="0020206D">
      <w:pPr>
        <w:rPr>
          <w:rFonts w:ascii="Mute Light" w:hAnsi="Mute Light" w:cs="Arial"/>
        </w:rPr>
      </w:pPr>
      <w:r w:rsidRPr="0020206D">
        <w:rPr>
          <w:rFonts w:ascii="Mute Light" w:hAnsi="Mute Light" w:cs="Arial"/>
        </w:rPr>
        <w:t xml:space="preserve">The advice received and arrangements implemented are, in the Trustee’s opinion, consistent with the requirements of Section 36 of the Pensions Act 1995 (as amended). The Trustee selected JUST as the Plan’s annuity provider having obtained and considered the written advice of Lane Clark &amp; Peacock (LCP) and Mercer whom the Trustee considered to be suitably qualified to provide such advice at the time of entering into the contract. </w:t>
      </w:r>
    </w:p>
    <w:p w14:paraId="61D341D9" w14:textId="069525D7" w:rsidR="00E21781" w:rsidRPr="0020206D" w:rsidRDefault="00083B56" w:rsidP="0020206D">
      <w:pPr>
        <w:rPr>
          <w:rFonts w:ascii="Mute Light" w:hAnsi="Mute Light" w:cs="Arial"/>
          <w:b/>
          <w:bCs/>
          <w:u w:val="single"/>
        </w:rPr>
      </w:pPr>
      <w:r w:rsidRPr="0020206D">
        <w:rPr>
          <w:rFonts w:ascii="Mute Light" w:hAnsi="Mute Light" w:cs="Arial"/>
          <w:b/>
          <w:bCs/>
          <w:u w:val="single"/>
        </w:rPr>
        <w:t>Review of the Statement of Investment Principles (“SIP”)</w:t>
      </w:r>
    </w:p>
    <w:p w14:paraId="7CE5671E" w14:textId="455679CA" w:rsidR="00083B56" w:rsidRPr="00083B56" w:rsidRDefault="00083B56" w:rsidP="00E21781">
      <w:pPr>
        <w:rPr>
          <w:rFonts w:ascii="Mute Light" w:hAnsi="Mute Light" w:cs="Arial"/>
        </w:rPr>
      </w:pPr>
      <w:r>
        <w:rPr>
          <w:rFonts w:ascii="Mute Light" w:hAnsi="Mute Light" w:cs="Arial"/>
        </w:rPr>
        <w:t xml:space="preserve">The SIP was reviewed and updated by the Trustee in May 2024, in order to reflect the position </w:t>
      </w:r>
      <w:r w:rsidR="00D51BBD">
        <w:rPr>
          <w:rFonts w:ascii="Mute Light" w:hAnsi="Mute Light" w:cs="Arial"/>
        </w:rPr>
        <w:t>following</w:t>
      </w:r>
      <w:r>
        <w:rPr>
          <w:rFonts w:ascii="Mute Light" w:hAnsi="Mute Light" w:cs="Arial"/>
        </w:rPr>
        <w:t xml:space="preserve"> the buy-in transaction in December 2023. </w:t>
      </w:r>
    </w:p>
    <w:p w14:paraId="53D8F16C" w14:textId="77777777" w:rsidR="00D51BBD" w:rsidRDefault="00D51BBD" w:rsidP="0089392B">
      <w:pPr>
        <w:jc w:val="both"/>
        <w:rPr>
          <w:rFonts w:ascii="Mute Light" w:hAnsi="Mute Light" w:cs="Arial"/>
          <w:b/>
          <w:u w:val="single"/>
        </w:rPr>
      </w:pPr>
    </w:p>
    <w:p w14:paraId="5978F073" w14:textId="77777777" w:rsidR="0020206D" w:rsidRDefault="0020206D" w:rsidP="0089392B">
      <w:pPr>
        <w:jc w:val="both"/>
        <w:rPr>
          <w:rFonts w:ascii="Mute Light" w:hAnsi="Mute Light" w:cs="Arial"/>
          <w:b/>
          <w:u w:val="single"/>
        </w:rPr>
      </w:pPr>
    </w:p>
    <w:p w14:paraId="09A17E8B" w14:textId="77777777" w:rsidR="0020206D" w:rsidRDefault="0020206D" w:rsidP="0089392B">
      <w:pPr>
        <w:jc w:val="both"/>
        <w:rPr>
          <w:rFonts w:ascii="Mute Light" w:hAnsi="Mute Light" w:cs="Arial"/>
          <w:b/>
          <w:u w:val="single"/>
        </w:rPr>
      </w:pPr>
    </w:p>
    <w:p w14:paraId="580B0EEB" w14:textId="77777777" w:rsidR="000E0493" w:rsidRDefault="000E0493">
      <w:pPr>
        <w:rPr>
          <w:rFonts w:ascii="Mute Light" w:hAnsi="Mute Light" w:cs="Arial"/>
          <w:b/>
          <w:u w:val="single"/>
        </w:rPr>
      </w:pPr>
      <w:r>
        <w:rPr>
          <w:rFonts w:ascii="Mute Light" w:hAnsi="Mute Light" w:cs="Arial"/>
          <w:b/>
          <w:u w:val="single"/>
        </w:rPr>
        <w:br w:type="page"/>
      </w:r>
    </w:p>
    <w:p w14:paraId="4AF959B8" w14:textId="1CBB49CD" w:rsidR="009E0E3F" w:rsidRPr="00F24306" w:rsidRDefault="009E0E3F" w:rsidP="0089392B">
      <w:pPr>
        <w:jc w:val="both"/>
        <w:rPr>
          <w:rFonts w:ascii="Mute Light" w:hAnsi="Mute Light" w:cs="Arial"/>
          <w:b/>
          <w:u w:val="single"/>
        </w:rPr>
      </w:pPr>
      <w:r w:rsidRPr="00F24306">
        <w:rPr>
          <w:rFonts w:ascii="Mute Light" w:hAnsi="Mute Light" w:cs="Arial"/>
          <w:b/>
          <w:u w:val="single"/>
        </w:rPr>
        <w:lastRenderedPageBreak/>
        <w:t>Policy on ESG, Stewardship and Climate Change</w:t>
      </w:r>
    </w:p>
    <w:p w14:paraId="7DD1AC73" w14:textId="051EE30D" w:rsidR="00A65791" w:rsidRPr="00F24306" w:rsidRDefault="00A65791" w:rsidP="00A65791">
      <w:pPr>
        <w:jc w:val="both"/>
        <w:rPr>
          <w:rFonts w:ascii="Mute Light" w:hAnsi="Mute Light" w:cs="Arial"/>
        </w:rPr>
      </w:pPr>
      <w:r w:rsidRPr="00F24306">
        <w:rPr>
          <w:rFonts w:ascii="Mute Light" w:hAnsi="Mute Light" w:cs="Arial"/>
        </w:rPr>
        <w:t>The Plan’s SIP includes the Trustee’s policy on ESG factors, stewardship and Climate Change. This policy sets out the Trustee’s beliefs on ESG and climate change and the processes followed by the Trustee in relation to voting rights and stewardship. This was last reviewed in August 2020.</w:t>
      </w:r>
    </w:p>
    <w:p w14:paraId="7250B1A0" w14:textId="77777777" w:rsidR="000E0493" w:rsidRDefault="00D74FC9" w:rsidP="00A65791">
      <w:pPr>
        <w:jc w:val="both"/>
        <w:rPr>
          <w:rFonts w:cstheme="minorHAnsi"/>
        </w:rPr>
      </w:pPr>
      <w:r w:rsidRPr="000E0493">
        <w:rPr>
          <w:rFonts w:cstheme="minorHAnsi"/>
        </w:rPr>
        <w:t xml:space="preserve">The latest SIP can be found at the following link: </w:t>
      </w:r>
    </w:p>
    <w:p w14:paraId="0CF923DF" w14:textId="3D048AE1" w:rsidR="00D74FC9" w:rsidRPr="000E0493" w:rsidRDefault="000E0493" w:rsidP="00A65791">
      <w:pPr>
        <w:jc w:val="both"/>
        <w:rPr>
          <w:rFonts w:cstheme="minorHAnsi"/>
        </w:rPr>
      </w:pPr>
      <w:r w:rsidRPr="000E0493">
        <w:rPr>
          <w:rFonts w:cstheme="minorHAnsi"/>
          <w:color w:val="0000FF"/>
        </w:rPr>
        <w:t>https://abinbevukpensionplans.com/onewebmedia/Stag_SIP_April%202024%20-%20website%20version.pdf</w:t>
      </w:r>
    </w:p>
    <w:p w14:paraId="3D21B60C" w14:textId="562B0A27" w:rsidR="00F24306" w:rsidRPr="00F24306" w:rsidRDefault="00A65791" w:rsidP="00A65791">
      <w:pPr>
        <w:jc w:val="both"/>
        <w:rPr>
          <w:rFonts w:ascii="Mute Light" w:hAnsi="Mute Light" w:cs="Arial"/>
        </w:rPr>
      </w:pPr>
      <w:r w:rsidRPr="00F24306">
        <w:rPr>
          <w:rFonts w:ascii="Mute Light" w:hAnsi="Mute Light" w:cs="Arial"/>
        </w:rPr>
        <w:t xml:space="preserve">The following work was undertaken during the year to 31 December </w:t>
      </w:r>
      <w:r w:rsidR="00E21781" w:rsidRPr="00F24306">
        <w:rPr>
          <w:rFonts w:ascii="Mute Light" w:hAnsi="Mute Light" w:cs="Arial"/>
        </w:rPr>
        <w:t>202</w:t>
      </w:r>
      <w:r w:rsidR="00E21781">
        <w:rPr>
          <w:rFonts w:ascii="Mute Light" w:hAnsi="Mute Light" w:cs="Arial"/>
        </w:rPr>
        <w:t>3</w:t>
      </w:r>
      <w:r w:rsidR="00E21781" w:rsidRPr="00F24306">
        <w:rPr>
          <w:rFonts w:ascii="Mute Light" w:hAnsi="Mute Light" w:cs="Arial"/>
        </w:rPr>
        <w:t xml:space="preserve"> </w:t>
      </w:r>
      <w:r w:rsidRPr="00F24306">
        <w:rPr>
          <w:rFonts w:ascii="Mute Light" w:hAnsi="Mute Light" w:cs="Arial"/>
        </w:rPr>
        <w:t xml:space="preserve">relating to the Trustee’s policy on ESG factors, </w:t>
      </w:r>
      <w:proofErr w:type="gramStart"/>
      <w:r w:rsidRPr="00F24306">
        <w:rPr>
          <w:rFonts w:ascii="Mute Light" w:hAnsi="Mute Light" w:cs="Arial"/>
        </w:rPr>
        <w:t>stewardship</w:t>
      </w:r>
      <w:proofErr w:type="gramEnd"/>
      <w:r w:rsidRPr="00F24306">
        <w:rPr>
          <w:rFonts w:ascii="Mute Light" w:hAnsi="Mute Light" w:cs="Arial"/>
        </w:rPr>
        <w:t xml:space="preserve"> and climate change, and sets out how the Trustee’s engagement and voting policies were followed and implemented during the year. The Trustee keeps the policies under regular review, with the SIP subject to review at least every three years</w:t>
      </w:r>
      <w:r w:rsidR="004C381C" w:rsidRPr="00F24306">
        <w:rPr>
          <w:rFonts w:ascii="Mute Light" w:hAnsi="Mute Light" w:cs="Arial"/>
        </w:rPr>
        <w:t xml:space="preserve"> or </w:t>
      </w:r>
      <w:r w:rsidR="00334F89">
        <w:rPr>
          <w:rFonts w:ascii="Mute Light" w:hAnsi="Mute Light" w:cs="Arial"/>
        </w:rPr>
        <w:t>following</w:t>
      </w:r>
      <w:r w:rsidR="004C381C" w:rsidRPr="00F24306">
        <w:rPr>
          <w:rFonts w:ascii="Mute Light" w:hAnsi="Mute Light" w:cs="Arial"/>
        </w:rPr>
        <w:t xml:space="preserve"> any significant changes to the Plan’s investment strategy. </w:t>
      </w:r>
    </w:p>
    <w:p w14:paraId="3B2804FA" w14:textId="77777777" w:rsidR="00F24306" w:rsidRDefault="00F24306" w:rsidP="00F24306">
      <w:pPr>
        <w:jc w:val="both"/>
        <w:rPr>
          <w:rFonts w:ascii="Mute Light" w:hAnsi="Mute Light" w:cs="Arial"/>
          <w:i/>
        </w:rPr>
      </w:pPr>
    </w:p>
    <w:p w14:paraId="5ABFF7B2" w14:textId="5B712C1D" w:rsidR="00A65791" w:rsidRPr="00F24306" w:rsidRDefault="00A65791" w:rsidP="00A65791">
      <w:pPr>
        <w:jc w:val="both"/>
        <w:rPr>
          <w:rFonts w:ascii="Mute Light" w:hAnsi="Mute Light" w:cs="Arial"/>
          <w:b/>
          <w:u w:val="single"/>
        </w:rPr>
      </w:pPr>
      <w:r w:rsidRPr="00F24306">
        <w:rPr>
          <w:rFonts w:ascii="Mute Light" w:hAnsi="Mute Light" w:cs="Arial"/>
          <w:b/>
          <w:u w:val="single"/>
        </w:rPr>
        <w:t>Engagement Activity</w:t>
      </w:r>
    </w:p>
    <w:p w14:paraId="20962FA6" w14:textId="77777777" w:rsidR="00D51BBD" w:rsidRDefault="004C381C" w:rsidP="00A65791">
      <w:pPr>
        <w:jc w:val="both"/>
        <w:rPr>
          <w:rFonts w:ascii="Mute Light" w:hAnsi="Mute Light" w:cs="Arial"/>
        </w:rPr>
      </w:pPr>
      <w:r w:rsidRPr="00F24306">
        <w:rPr>
          <w:rFonts w:ascii="Mute Light" w:hAnsi="Mute Light" w:cs="Arial"/>
        </w:rPr>
        <w:t xml:space="preserve">The Plan has </w:t>
      </w:r>
      <w:r w:rsidR="00A65791" w:rsidRPr="00F24306">
        <w:rPr>
          <w:rFonts w:ascii="Mute Light" w:hAnsi="Mute Light" w:cs="Arial"/>
        </w:rPr>
        <w:t xml:space="preserve">one </w:t>
      </w:r>
      <w:r w:rsidR="00083B56">
        <w:rPr>
          <w:rFonts w:ascii="Mute Light" w:hAnsi="Mute Light" w:cs="Arial"/>
        </w:rPr>
        <w:t xml:space="preserve">investment </w:t>
      </w:r>
      <w:r w:rsidR="00A65791" w:rsidRPr="00F24306">
        <w:rPr>
          <w:rFonts w:ascii="Mute Light" w:hAnsi="Mute Light" w:cs="Arial"/>
        </w:rPr>
        <w:t>manager, Legal and General</w:t>
      </w:r>
      <w:r w:rsidR="00083B56">
        <w:rPr>
          <w:rFonts w:ascii="Mute Light" w:hAnsi="Mute Light" w:cs="Arial"/>
        </w:rPr>
        <w:t>, that is responsible for managing the residual (</w:t>
      </w:r>
      <w:proofErr w:type="spellStart"/>
      <w:proofErr w:type="gramStart"/>
      <w:r w:rsidR="00083B56">
        <w:rPr>
          <w:rFonts w:ascii="Mute Light" w:hAnsi="Mute Light" w:cs="Arial"/>
        </w:rPr>
        <w:t>non buy</w:t>
      </w:r>
      <w:proofErr w:type="spellEnd"/>
      <w:proofErr w:type="gramEnd"/>
      <w:r w:rsidR="00083B56">
        <w:rPr>
          <w:rFonts w:ascii="Mute Light" w:hAnsi="Mute Light" w:cs="Arial"/>
        </w:rPr>
        <w:t>-in) assets, that represent a small proportion of overall Plan assets</w:t>
      </w:r>
      <w:r w:rsidR="00A65791" w:rsidRPr="00F24306">
        <w:rPr>
          <w:rFonts w:ascii="Mute Light" w:hAnsi="Mute Light" w:cs="Arial"/>
        </w:rPr>
        <w:t>. The Trustee has satisfied itself that this manager pays suitable attention to ESG, stewardship and climate change matters. It has therefore delegated the management of all such activities to Legal and General.</w:t>
      </w:r>
      <w:r w:rsidR="00D51BBD">
        <w:rPr>
          <w:rFonts w:ascii="Mute Light" w:hAnsi="Mute Light" w:cs="Arial"/>
        </w:rPr>
        <w:t xml:space="preserve"> </w:t>
      </w:r>
    </w:p>
    <w:p w14:paraId="118E5224" w14:textId="6ED5F147" w:rsidR="00A65791" w:rsidRPr="00F24306" w:rsidRDefault="00D51BBD" w:rsidP="00A65791">
      <w:pPr>
        <w:jc w:val="both"/>
        <w:rPr>
          <w:rFonts w:ascii="Mute Light" w:hAnsi="Mute Light" w:cs="Arial"/>
        </w:rPr>
      </w:pPr>
      <w:r>
        <w:rPr>
          <w:rFonts w:ascii="Mute Light" w:hAnsi="Mute Light" w:cs="Arial"/>
        </w:rPr>
        <w:t xml:space="preserve">The Trustee has also taken into consideration the Mercer research ratings (both general and specific to ESG) assigned to the mandates held by the Plan, being made aware of any changes to these and of any relevant news that may impact the managers and funds. </w:t>
      </w:r>
    </w:p>
    <w:p w14:paraId="4624FCD1" w14:textId="70E9FFD9" w:rsidR="002E0CB1" w:rsidRDefault="002E0CB1" w:rsidP="00A65791">
      <w:pPr>
        <w:jc w:val="both"/>
        <w:rPr>
          <w:rFonts w:ascii="Mute Light" w:hAnsi="Mute Light" w:cs="Arial"/>
        </w:rPr>
      </w:pPr>
      <w:r w:rsidRPr="002E0CB1">
        <w:rPr>
          <w:rFonts w:ascii="Mute Light" w:hAnsi="Mute Light" w:cs="Arial"/>
        </w:rPr>
        <w:t>The Trustee understands that JUST have full discretion in evaluating ESG factors, including climate change considerations, and exercising voting rights and stewardship obligations attached to the investments underlying the buy-in policy, in accordance with their own corporate governance policies and current best practice. The Trustee’s Investment Consultant has highlighted the broad sustainability policies of JUST, and their efforts in relation to ESG matters. The Trustee may look to explore these with the insurer if they evolve in the future.</w:t>
      </w:r>
    </w:p>
    <w:p w14:paraId="5CA196EE" w14:textId="77777777" w:rsidR="000E0493" w:rsidRDefault="000E0493" w:rsidP="00A77AED">
      <w:pPr>
        <w:jc w:val="both"/>
        <w:rPr>
          <w:rFonts w:ascii="Mute Light" w:hAnsi="Mute Light" w:cs="Arial"/>
          <w:b/>
          <w:u w:val="single"/>
        </w:rPr>
      </w:pPr>
    </w:p>
    <w:p w14:paraId="0DC6EEB2" w14:textId="3B483838" w:rsidR="009E0E3F" w:rsidRDefault="009E0E3F" w:rsidP="00A77AED">
      <w:pPr>
        <w:jc w:val="both"/>
        <w:rPr>
          <w:rFonts w:ascii="Mute Light" w:hAnsi="Mute Light" w:cs="Arial"/>
          <w:b/>
          <w:u w:val="single"/>
        </w:rPr>
      </w:pPr>
      <w:r w:rsidRPr="00F24306">
        <w:rPr>
          <w:rFonts w:ascii="Mute Light" w:hAnsi="Mute Light" w:cs="Arial"/>
          <w:b/>
          <w:u w:val="single"/>
        </w:rPr>
        <w:t>Voting Activity</w:t>
      </w:r>
    </w:p>
    <w:p w14:paraId="3BF0A329" w14:textId="385E53FE" w:rsidR="00D51BBD" w:rsidRPr="00D51BBD" w:rsidRDefault="00D51BBD" w:rsidP="00CD36E8">
      <w:pPr>
        <w:jc w:val="both"/>
        <w:rPr>
          <w:rFonts w:ascii="Mute Light" w:hAnsi="Mute Light" w:cs="Arial"/>
        </w:rPr>
      </w:pPr>
      <w:r>
        <w:rPr>
          <w:rFonts w:ascii="Mute Light" w:hAnsi="Mute Light" w:cs="Arial"/>
        </w:rPr>
        <w:t xml:space="preserve">As the majority of assets had been used to purchase a bulk-annuity contract with JUST in December 2023, the Trustee </w:t>
      </w:r>
      <w:r w:rsidR="004D6FF4">
        <w:rPr>
          <w:rFonts w:ascii="Mute Light" w:hAnsi="Mute Light" w:cs="Arial"/>
        </w:rPr>
        <w:t>has no voting rights in relation to this policy.</w:t>
      </w:r>
    </w:p>
    <w:p w14:paraId="6A9CEF4F" w14:textId="0EAA8A59" w:rsidR="00D35B96" w:rsidRPr="00F24306" w:rsidRDefault="00B551B9" w:rsidP="00D35B96">
      <w:pPr>
        <w:jc w:val="both"/>
        <w:rPr>
          <w:rFonts w:ascii="Mute Light" w:hAnsi="Mute Light" w:cs="Arial"/>
        </w:rPr>
      </w:pPr>
      <w:r w:rsidRPr="0020206D">
        <w:rPr>
          <w:rFonts w:ascii="Mute Light" w:hAnsi="Mute Light"/>
        </w:rPr>
        <w:t xml:space="preserve">As the Scheme invests in </w:t>
      </w:r>
      <w:r w:rsidR="00D51BBD" w:rsidRPr="0020206D">
        <w:rPr>
          <w:rFonts w:ascii="Mute Light" w:hAnsi="Mute Light"/>
        </w:rPr>
        <w:t xml:space="preserve">a </w:t>
      </w:r>
      <w:r w:rsidRPr="0020206D">
        <w:rPr>
          <w:rFonts w:ascii="Mute Light" w:hAnsi="Mute Light"/>
        </w:rPr>
        <w:t>pooled vehicle, the appointed investment manager will exercise voting rights in line with their stated policies</w:t>
      </w:r>
      <w:r>
        <w:rPr>
          <w:rFonts w:ascii="Mute" w:hAnsi="Mute"/>
        </w:rPr>
        <w:t xml:space="preserve">. </w:t>
      </w:r>
      <w:r w:rsidR="00A77AED" w:rsidRPr="00F24306">
        <w:rPr>
          <w:rFonts w:ascii="Mute Light" w:hAnsi="Mute Light" w:cs="Arial"/>
        </w:rPr>
        <w:t xml:space="preserve">The Trustee has delegated their voting rights to </w:t>
      </w:r>
      <w:r w:rsidR="009A5B0D" w:rsidRPr="00F24306">
        <w:rPr>
          <w:rFonts w:ascii="Mute Light" w:hAnsi="Mute Light" w:cs="Arial"/>
        </w:rPr>
        <w:t xml:space="preserve">Legal and General, </w:t>
      </w:r>
      <w:r w:rsidR="00A77AED" w:rsidRPr="00F24306">
        <w:rPr>
          <w:rFonts w:ascii="Mute Light" w:hAnsi="Mute Light" w:cs="Arial"/>
        </w:rPr>
        <w:t>the investment manager</w:t>
      </w:r>
      <w:r w:rsidR="00D51BBD">
        <w:rPr>
          <w:rFonts w:ascii="Mute Light" w:hAnsi="Mute Light" w:cs="Arial"/>
        </w:rPr>
        <w:t>, who</w:t>
      </w:r>
      <w:r w:rsidR="00A77AED" w:rsidRPr="00F24306">
        <w:rPr>
          <w:rFonts w:ascii="Mute Light" w:hAnsi="Mute Light" w:cs="Arial"/>
        </w:rPr>
        <w:t xml:space="preserve"> provide</w:t>
      </w:r>
      <w:r w:rsidR="009A5B0D" w:rsidRPr="00F24306">
        <w:rPr>
          <w:rFonts w:ascii="Mute Light" w:hAnsi="Mute Light" w:cs="Arial"/>
        </w:rPr>
        <w:t>s</w:t>
      </w:r>
      <w:r w:rsidR="00A77AED" w:rsidRPr="00F24306">
        <w:rPr>
          <w:rFonts w:ascii="Mute Light" w:hAnsi="Mute Light" w:cs="Arial"/>
        </w:rPr>
        <w:t xml:space="preserve"> voting summary reporting on a regular basis, at least annually. </w:t>
      </w:r>
      <w:r w:rsidR="00F2622B" w:rsidRPr="00F24306">
        <w:rPr>
          <w:rFonts w:ascii="Mute Light" w:hAnsi="Mute Light" w:cs="Arial"/>
        </w:rPr>
        <w:t xml:space="preserve">In practice, this has little current relevance given that the existing </w:t>
      </w:r>
      <w:r w:rsidR="00D51BBD">
        <w:rPr>
          <w:rFonts w:ascii="Mute Light" w:hAnsi="Mute Light" w:cs="Arial"/>
        </w:rPr>
        <w:t>cash</w:t>
      </w:r>
      <w:r w:rsidR="00F2622B" w:rsidRPr="00F24306">
        <w:rPr>
          <w:rFonts w:ascii="Mute Light" w:hAnsi="Mute Light" w:cs="Arial"/>
        </w:rPr>
        <w:t>-based investment strategy</w:t>
      </w:r>
      <w:r w:rsidR="00D51BBD">
        <w:rPr>
          <w:rFonts w:ascii="Mute Light" w:hAnsi="Mute Light" w:cs="Arial"/>
        </w:rPr>
        <w:t xml:space="preserve"> for the residual assets</w:t>
      </w:r>
      <w:r w:rsidR="00F2622B" w:rsidRPr="00F24306">
        <w:rPr>
          <w:rFonts w:ascii="Mute Light" w:hAnsi="Mute Light" w:cs="Arial"/>
        </w:rPr>
        <w:t>.</w:t>
      </w:r>
      <w:r w:rsidR="00D51BBD">
        <w:rPr>
          <w:rFonts w:ascii="Mute Light" w:hAnsi="Mute Light" w:cs="Arial"/>
        </w:rPr>
        <w:t xml:space="preserve"> </w:t>
      </w:r>
      <w:r w:rsidR="00A3108C" w:rsidRPr="00F24306">
        <w:rPr>
          <w:rFonts w:ascii="Mute Light" w:hAnsi="Mute Light" w:cs="Arial"/>
        </w:rPr>
        <w:t>The Trustee</w:t>
      </w:r>
      <w:r w:rsidR="00D35B96" w:rsidRPr="00F24306">
        <w:rPr>
          <w:rFonts w:ascii="Mute Light" w:hAnsi="Mute Light" w:cs="Arial"/>
        </w:rPr>
        <w:t xml:space="preserve"> note</w:t>
      </w:r>
      <w:r w:rsidR="00A3108C" w:rsidRPr="00F24306">
        <w:rPr>
          <w:rFonts w:ascii="Mute Light" w:hAnsi="Mute Light" w:cs="Arial"/>
        </w:rPr>
        <w:t>s</w:t>
      </w:r>
      <w:r w:rsidR="00D35B96" w:rsidRPr="00F24306">
        <w:rPr>
          <w:rFonts w:ascii="Mute Light" w:hAnsi="Mute Light" w:cs="Arial"/>
        </w:rPr>
        <w:t xml:space="preserve"> that voting opportunities primarily arise within equities, and the </w:t>
      </w:r>
      <w:r w:rsidR="00A3108C" w:rsidRPr="00F24306">
        <w:rPr>
          <w:rFonts w:ascii="Mute Light" w:hAnsi="Mute Light" w:cs="Arial"/>
        </w:rPr>
        <w:t xml:space="preserve">Plan </w:t>
      </w:r>
      <w:r w:rsidR="00D35B96" w:rsidRPr="00F24306">
        <w:rPr>
          <w:rFonts w:ascii="Mute Light" w:hAnsi="Mute Light" w:cs="Arial"/>
        </w:rPr>
        <w:t>does not hold equities, convertible bonds or bonds with equity-like or equity conversion features.</w:t>
      </w:r>
    </w:p>
    <w:p w14:paraId="05160313" w14:textId="77777777" w:rsidR="00F24306" w:rsidRPr="002F2AD5" w:rsidRDefault="00F24306" w:rsidP="00A3108C">
      <w:pPr>
        <w:pStyle w:val="ListBullet"/>
        <w:numPr>
          <w:ilvl w:val="0"/>
          <w:numId w:val="0"/>
        </w:numPr>
        <w:jc w:val="both"/>
        <w:rPr>
          <w:rFonts w:ascii="Mute Light" w:hAnsi="Mute Light" w:cs="Arial"/>
          <w:color w:val="auto"/>
          <w:szCs w:val="22"/>
          <w:highlight w:val="yellow"/>
        </w:rPr>
      </w:pPr>
    </w:p>
    <w:sectPr w:rsidR="00F24306" w:rsidRPr="002F2AD5" w:rsidSect="004819A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A43E8" w14:textId="77777777" w:rsidR="00181E0E" w:rsidRDefault="00181E0E" w:rsidP="00181E0E">
      <w:pPr>
        <w:spacing w:after="0" w:line="240" w:lineRule="auto"/>
      </w:pPr>
      <w:r>
        <w:separator/>
      </w:r>
    </w:p>
  </w:endnote>
  <w:endnote w:type="continuationSeparator" w:id="0">
    <w:p w14:paraId="691EA5B3" w14:textId="77777777" w:rsidR="00181E0E" w:rsidRDefault="00181E0E" w:rsidP="00181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ute Light">
    <w:altName w:val="Calibri"/>
    <w:panose1 w:val="00000000000000000000"/>
    <w:charset w:val="00"/>
    <w:family w:val="modern"/>
    <w:notTrueType/>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ute">
    <w:altName w:val="Calibri"/>
    <w:panose1 w:val="00000000000000000000"/>
    <w:charset w:val="00"/>
    <w:family w:val="modern"/>
    <w:notTrueType/>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E745" w14:textId="77777777" w:rsidR="006B2511" w:rsidRDefault="006B2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B7B9" w14:textId="77777777" w:rsidR="006B2511" w:rsidRDefault="006B25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E6AA" w14:textId="77777777" w:rsidR="006B2511" w:rsidRDefault="006B2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55946" w14:textId="77777777" w:rsidR="00181E0E" w:rsidRDefault="00181E0E" w:rsidP="00181E0E">
      <w:pPr>
        <w:spacing w:after="0" w:line="240" w:lineRule="auto"/>
      </w:pPr>
      <w:r>
        <w:separator/>
      </w:r>
    </w:p>
  </w:footnote>
  <w:footnote w:type="continuationSeparator" w:id="0">
    <w:p w14:paraId="4FF3A99D" w14:textId="77777777" w:rsidR="00181E0E" w:rsidRDefault="00181E0E" w:rsidP="00181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65D4" w14:textId="77777777" w:rsidR="006B2511" w:rsidRDefault="006B25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D4BC" w14:textId="66088B9D" w:rsidR="006B2511" w:rsidRDefault="006B25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855C" w14:textId="77777777" w:rsidR="006B2511" w:rsidRDefault="006B2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5681"/>
    <w:multiLevelType w:val="hybridMultilevel"/>
    <w:tmpl w:val="91806F58"/>
    <w:lvl w:ilvl="0" w:tplc="B2B671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A2441"/>
    <w:multiLevelType w:val="hybridMultilevel"/>
    <w:tmpl w:val="222C7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37BC5"/>
    <w:multiLevelType w:val="hybridMultilevel"/>
    <w:tmpl w:val="FB20C592"/>
    <w:lvl w:ilvl="0" w:tplc="02584D08">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215B58"/>
    <w:multiLevelType w:val="hybridMultilevel"/>
    <w:tmpl w:val="101EBDA0"/>
    <w:lvl w:ilvl="0" w:tplc="42288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94F8B"/>
    <w:multiLevelType w:val="hybridMultilevel"/>
    <w:tmpl w:val="856E4C76"/>
    <w:lvl w:ilvl="0" w:tplc="42288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809FA"/>
    <w:multiLevelType w:val="hybridMultilevel"/>
    <w:tmpl w:val="4704E3B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15870C8"/>
    <w:multiLevelType w:val="hybridMultilevel"/>
    <w:tmpl w:val="105AB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1319E"/>
    <w:multiLevelType w:val="hybridMultilevel"/>
    <w:tmpl w:val="ED6A88F4"/>
    <w:lvl w:ilvl="0" w:tplc="3CA028A6">
      <w:numFmt w:val="bullet"/>
      <w:lvlText w:val=""/>
      <w:lvlJc w:val="left"/>
      <w:pPr>
        <w:ind w:left="720" w:hanging="360"/>
      </w:pPr>
      <w:rPr>
        <w:rFonts w:ascii="Mute Light" w:eastAsiaTheme="minorHAnsi" w:hAnsi="Mute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B23A1F"/>
    <w:multiLevelType w:val="hybridMultilevel"/>
    <w:tmpl w:val="01C8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382C16"/>
    <w:multiLevelType w:val="hybridMultilevel"/>
    <w:tmpl w:val="0B041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9E2EE1"/>
    <w:multiLevelType w:val="hybridMultilevel"/>
    <w:tmpl w:val="2F86B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917809"/>
    <w:multiLevelType w:val="hybridMultilevel"/>
    <w:tmpl w:val="AC500BE2"/>
    <w:lvl w:ilvl="0" w:tplc="081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A17547"/>
    <w:multiLevelType w:val="multilevel"/>
    <w:tmpl w:val="25EC57AA"/>
    <w:name w:val="Bulle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ListBullet"/>
      <w:lvlText w:val="•"/>
      <w:lvlJc w:val="left"/>
      <w:pPr>
        <w:tabs>
          <w:tab w:val="num" w:pos="360"/>
        </w:tabs>
        <w:ind w:left="360" w:hanging="360"/>
      </w:pPr>
      <w:rPr>
        <w:rFonts w:ascii="Arial" w:hAnsi="Arial" w:cs="Arial"/>
        <w:b w:val="0"/>
        <w:i w:val="0"/>
        <w:caps w:val="0"/>
        <w:smallCaps w:val="0"/>
        <w:vanish w:val="0"/>
        <w:u w:val="none"/>
      </w:rPr>
    </w:lvl>
    <w:lvl w:ilvl="5">
      <w:start w:val="1"/>
      <w:numFmt w:val="lowerRoman"/>
      <w:pStyle w:val="ListBullet2"/>
      <w:lvlText w:val="─"/>
      <w:lvlJc w:val="left"/>
      <w:pPr>
        <w:tabs>
          <w:tab w:val="num" w:pos="720"/>
        </w:tabs>
        <w:ind w:left="720" w:hanging="360"/>
      </w:pPr>
      <w:rPr>
        <w:rFonts w:ascii="Arial" w:hAnsi="Arial" w:cs="Arial"/>
        <w:b w:val="0"/>
        <w:i w:val="0"/>
        <w:caps w:val="0"/>
        <w:smallCaps w:val="0"/>
        <w:vanish w:val="0"/>
        <w:u w:val="none"/>
      </w:rPr>
    </w:lvl>
    <w:lvl w:ilvl="6">
      <w:start w:val="1"/>
      <w:numFmt w:val="decimal"/>
      <w:pStyle w:val="ListBullet3"/>
      <w:lvlText w:val="−"/>
      <w:lvlJc w:val="left"/>
      <w:pPr>
        <w:tabs>
          <w:tab w:val="num" w:pos="1080"/>
        </w:tabs>
        <w:ind w:left="1080" w:hanging="360"/>
      </w:pPr>
      <w:rPr>
        <w:rFonts w:ascii="Arial" w:hAnsi="Arial" w:cs="Arial"/>
        <w:b w:val="0"/>
        <w:i w:val="0"/>
        <w:caps w:val="0"/>
        <w:smallCaps w:val="0"/>
        <w:vanish w:val="0"/>
        <w:u w:val="none"/>
      </w:rPr>
    </w:lvl>
    <w:lvl w:ilvl="7">
      <w:start w:val="1"/>
      <w:numFmt w:val="lowerLetter"/>
      <w:pStyle w:val="ListBullet4"/>
      <w:lvlText w:val="−"/>
      <w:lvlJc w:val="left"/>
      <w:pPr>
        <w:tabs>
          <w:tab w:val="num" w:pos="1440"/>
        </w:tabs>
        <w:ind w:left="1440" w:hanging="360"/>
      </w:pPr>
      <w:rPr>
        <w:rFonts w:ascii="Arial" w:hAnsi="Arial" w:cs="Arial"/>
        <w:b w:val="0"/>
        <w:i w:val="0"/>
        <w:caps w:val="0"/>
        <w:smallCaps w:val="0"/>
        <w:vanish w:val="0"/>
        <w:u w:val="none"/>
      </w:rPr>
    </w:lvl>
    <w:lvl w:ilvl="8">
      <w:start w:val="1"/>
      <w:numFmt w:val="lowerRoman"/>
      <w:lvlText w:val="%9."/>
      <w:lvlJc w:val="left"/>
      <w:pPr>
        <w:ind w:left="3240" w:hanging="360"/>
      </w:pPr>
    </w:lvl>
  </w:abstractNum>
  <w:num w:numId="1" w16cid:durableId="1085808824">
    <w:abstractNumId w:val="8"/>
  </w:num>
  <w:num w:numId="2" w16cid:durableId="811601403">
    <w:abstractNumId w:val="6"/>
  </w:num>
  <w:num w:numId="3" w16cid:durableId="589510408">
    <w:abstractNumId w:val="10"/>
  </w:num>
  <w:num w:numId="4" w16cid:durableId="1992060385">
    <w:abstractNumId w:val="9"/>
  </w:num>
  <w:num w:numId="5" w16cid:durableId="419254393">
    <w:abstractNumId w:val="2"/>
  </w:num>
  <w:num w:numId="6" w16cid:durableId="1488547170">
    <w:abstractNumId w:val="11"/>
  </w:num>
  <w:num w:numId="7" w16cid:durableId="1405031995">
    <w:abstractNumId w:val="3"/>
  </w:num>
  <w:num w:numId="8" w16cid:durableId="1935506770">
    <w:abstractNumId w:val="12"/>
  </w:num>
  <w:num w:numId="9" w16cid:durableId="1530726237">
    <w:abstractNumId w:val="4"/>
  </w:num>
  <w:num w:numId="10" w16cid:durableId="686904836">
    <w:abstractNumId w:val="12"/>
  </w:num>
  <w:num w:numId="11" w16cid:durableId="1318147540">
    <w:abstractNumId w:val="12"/>
  </w:num>
  <w:num w:numId="12" w16cid:durableId="787504201">
    <w:abstractNumId w:val="0"/>
  </w:num>
  <w:num w:numId="13" w16cid:durableId="1145704145">
    <w:abstractNumId w:val="1"/>
  </w:num>
  <w:num w:numId="14" w16cid:durableId="535896837">
    <w:abstractNumId w:val="7"/>
  </w:num>
  <w:num w:numId="15" w16cid:durableId="19517417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E3F"/>
    <w:rsid w:val="0000152F"/>
    <w:rsid w:val="00004A23"/>
    <w:rsid w:val="00060A3E"/>
    <w:rsid w:val="000715FF"/>
    <w:rsid w:val="00083B56"/>
    <w:rsid w:val="000C59CB"/>
    <w:rsid w:val="000D2A0F"/>
    <w:rsid w:val="000D6A83"/>
    <w:rsid w:val="000E0493"/>
    <w:rsid w:val="00103688"/>
    <w:rsid w:val="00105E2E"/>
    <w:rsid w:val="00120B3A"/>
    <w:rsid w:val="0013195E"/>
    <w:rsid w:val="001574FD"/>
    <w:rsid w:val="001769CF"/>
    <w:rsid w:val="00181E0E"/>
    <w:rsid w:val="0019513C"/>
    <w:rsid w:val="001A48F4"/>
    <w:rsid w:val="001A5559"/>
    <w:rsid w:val="001E09AE"/>
    <w:rsid w:val="001F353A"/>
    <w:rsid w:val="00200D81"/>
    <w:rsid w:val="0020206D"/>
    <w:rsid w:val="00205202"/>
    <w:rsid w:val="002109D4"/>
    <w:rsid w:val="00216A2B"/>
    <w:rsid w:val="00231597"/>
    <w:rsid w:val="002321BF"/>
    <w:rsid w:val="00236E43"/>
    <w:rsid w:val="002478FA"/>
    <w:rsid w:val="002678B5"/>
    <w:rsid w:val="00273225"/>
    <w:rsid w:val="0029369D"/>
    <w:rsid w:val="002E0CB1"/>
    <w:rsid w:val="002F2AD5"/>
    <w:rsid w:val="00310027"/>
    <w:rsid w:val="00315B10"/>
    <w:rsid w:val="00325B0E"/>
    <w:rsid w:val="00334F89"/>
    <w:rsid w:val="0037714A"/>
    <w:rsid w:val="0039564D"/>
    <w:rsid w:val="003B2124"/>
    <w:rsid w:val="003B4B99"/>
    <w:rsid w:val="003C7939"/>
    <w:rsid w:val="003E3D3F"/>
    <w:rsid w:val="003F6F1A"/>
    <w:rsid w:val="00402F4D"/>
    <w:rsid w:val="0044012A"/>
    <w:rsid w:val="004819A4"/>
    <w:rsid w:val="004B4C5A"/>
    <w:rsid w:val="004C381C"/>
    <w:rsid w:val="004D462E"/>
    <w:rsid w:val="004D6FF4"/>
    <w:rsid w:val="004E18E8"/>
    <w:rsid w:val="004F1C58"/>
    <w:rsid w:val="00544469"/>
    <w:rsid w:val="005471BB"/>
    <w:rsid w:val="0055748C"/>
    <w:rsid w:val="00557649"/>
    <w:rsid w:val="00565916"/>
    <w:rsid w:val="00574DA8"/>
    <w:rsid w:val="00576A78"/>
    <w:rsid w:val="00585920"/>
    <w:rsid w:val="005B51EA"/>
    <w:rsid w:val="005C4599"/>
    <w:rsid w:val="005D2B82"/>
    <w:rsid w:val="005D3357"/>
    <w:rsid w:val="005E34EA"/>
    <w:rsid w:val="005F0F75"/>
    <w:rsid w:val="005F7833"/>
    <w:rsid w:val="00605809"/>
    <w:rsid w:val="00613871"/>
    <w:rsid w:val="0061755F"/>
    <w:rsid w:val="00693731"/>
    <w:rsid w:val="00695644"/>
    <w:rsid w:val="006B2511"/>
    <w:rsid w:val="006D3571"/>
    <w:rsid w:val="00712265"/>
    <w:rsid w:val="00736D42"/>
    <w:rsid w:val="007376D0"/>
    <w:rsid w:val="007431F8"/>
    <w:rsid w:val="00755FBF"/>
    <w:rsid w:val="007607C8"/>
    <w:rsid w:val="007844F9"/>
    <w:rsid w:val="00793C40"/>
    <w:rsid w:val="007A239E"/>
    <w:rsid w:val="007A4925"/>
    <w:rsid w:val="007E69F2"/>
    <w:rsid w:val="0084225B"/>
    <w:rsid w:val="00845625"/>
    <w:rsid w:val="00871FF3"/>
    <w:rsid w:val="00874C4B"/>
    <w:rsid w:val="0089392B"/>
    <w:rsid w:val="008B0274"/>
    <w:rsid w:val="008B4B68"/>
    <w:rsid w:val="008C3834"/>
    <w:rsid w:val="008C38E6"/>
    <w:rsid w:val="008D5A62"/>
    <w:rsid w:val="008E731C"/>
    <w:rsid w:val="008F069D"/>
    <w:rsid w:val="008F21C2"/>
    <w:rsid w:val="0090513D"/>
    <w:rsid w:val="00911D45"/>
    <w:rsid w:val="0092302E"/>
    <w:rsid w:val="00940A3E"/>
    <w:rsid w:val="009468C7"/>
    <w:rsid w:val="00973B6F"/>
    <w:rsid w:val="00981B2B"/>
    <w:rsid w:val="009A4555"/>
    <w:rsid w:val="009A5B0D"/>
    <w:rsid w:val="009C2346"/>
    <w:rsid w:val="009D59B5"/>
    <w:rsid w:val="009E0E3F"/>
    <w:rsid w:val="009F5158"/>
    <w:rsid w:val="00A3108C"/>
    <w:rsid w:val="00A42BAB"/>
    <w:rsid w:val="00A65791"/>
    <w:rsid w:val="00A77AED"/>
    <w:rsid w:val="00A936D6"/>
    <w:rsid w:val="00AA65CE"/>
    <w:rsid w:val="00AD0C07"/>
    <w:rsid w:val="00AE6929"/>
    <w:rsid w:val="00B04CE0"/>
    <w:rsid w:val="00B31655"/>
    <w:rsid w:val="00B35549"/>
    <w:rsid w:val="00B46C63"/>
    <w:rsid w:val="00B50432"/>
    <w:rsid w:val="00B51451"/>
    <w:rsid w:val="00B551B9"/>
    <w:rsid w:val="00B750C9"/>
    <w:rsid w:val="00BB3970"/>
    <w:rsid w:val="00BC2CA0"/>
    <w:rsid w:val="00BD7662"/>
    <w:rsid w:val="00BE5808"/>
    <w:rsid w:val="00BF3E27"/>
    <w:rsid w:val="00BF430D"/>
    <w:rsid w:val="00C23058"/>
    <w:rsid w:val="00C25B27"/>
    <w:rsid w:val="00C349C6"/>
    <w:rsid w:val="00C4309C"/>
    <w:rsid w:val="00C54660"/>
    <w:rsid w:val="00C820BF"/>
    <w:rsid w:val="00C8644F"/>
    <w:rsid w:val="00C900EF"/>
    <w:rsid w:val="00C91D46"/>
    <w:rsid w:val="00CA1066"/>
    <w:rsid w:val="00CB6DA0"/>
    <w:rsid w:val="00CC6E3E"/>
    <w:rsid w:val="00CC7962"/>
    <w:rsid w:val="00CD36E8"/>
    <w:rsid w:val="00CE20C4"/>
    <w:rsid w:val="00D21A83"/>
    <w:rsid w:val="00D35B96"/>
    <w:rsid w:val="00D46410"/>
    <w:rsid w:val="00D51BBD"/>
    <w:rsid w:val="00D54EA5"/>
    <w:rsid w:val="00D71392"/>
    <w:rsid w:val="00D73D9B"/>
    <w:rsid w:val="00D74FC9"/>
    <w:rsid w:val="00DB686D"/>
    <w:rsid w:val="00DB68FC"/>
    <w:rsid w:val="00DC2E7E"/>
    <w:rsid w:val="00DD2F92"/>
    <w:rsid w:val="00DD7FDC"/>
    <w:rsid w:val="00DE30AB"/>
    <w:rsid w:val="00DF0B00"/>
    <w:rsid w:val="00E01545"/>
    <w:rsid w:val="00E05D8D"/>
    <w:rsid w:val="00E201D2"/>
    <w:rsid w:val="00E21781"/>
    <w:rsid w:val="00E345E6"/>
    <w:rsid w:val="00E46886"/>
    <w:rsid w:val="00E50344"/>
    <w:rsid w:val="00E527F0"/>
    <w:rsid w:val="00E53166"/>
    <w:rsid w:val="00E57201"/>
    <w:rsid w:val="00E628C9"/>
    <w:rsid w:val="00E72144"/>
    <w:rsid w:val="00E75A1E"/>
    <w:rsid w:val="00E804F4"/>
    <w:rsid w:val="00E85851"/>
    <w:rsid w:val="00E90650"/>
    <w:rsid w:val="00E97B80"/>
    <w:rsid w:val="00ED1001"/>
    <w:rsid w:val="00ED4AF2"/>
    <w:rsid w:val="00EF1E19"/>
    <w:rsid w:val="00F1259C"/>
    <w:rsid w:val="00F24306"/>
    <w:rsid w:val="00F2622B"/>
    <w:rsid w:val="00F33EE1"/>
    <w:rsid w:val="00F74878"/>
    <w:rsid w:val="00F822F9"/>
    <w:rsid w:val="00FA2464"/>
    <w:rsid w:val="00FC2B70"/>
    <w:rsid w:val="00FD3C36"/>
    <w:rsid w:val="00FF3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14:docId w14:val="250AD460"/>
  <w15:chartTrackingRefBased/>
  <w15:docId w15:val="{BDD28911-B8AC-495F-ADC4-B0D51311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E3F"/>
    <w:pPr>
      <w:ind w:left="720"/>
      <w:contextualSpacing/>
    </w:pPr>
  </w:style>
  <w:style w:type="character" w:styleId="CommentReference">
    <w:name w:val="annotation reference"/>
    <w:basedOn w:val="DefaultParagraphFont"/>
    <w:uiPriority w:val="99"/>
    <w:semiHidden/>
    <w:unhideWhenUsed/>
    <w:rsid w:val="00F74878"/>
    <w:rPr>
      <w:sz w:val="16"/>
      <w:szCs w:val="16"/>
    </w:rPr>
  </w:style>
  <w:style w:type="paragraph" w:styleId="CommentText">
    <w:name w:val="annotation text"/>
    <w:basedOn w:val="Normal"/>
    <w:link w:val="CommentTextChar"/>
    <w:uiPriority w:val="99"/>
    <w:unhideWhenUsed/>
    <w:rsid w:val="00F74878"/>
    <w:pPr>
      <w:spacing w:line="240" w:lineRule="auto"/>
    </w:pPr>
    <w:rPr>
      <w:sz w:val="20"/>
      <w:szCs w:val="20"/>
    </w:rPr>
  </w:style>
  <w:style w:type="character" w:customStyle="1" w:styleId="CommentTextChar">
    <w:name w:val="Comment Text Char"/>
    <w:basedOn w:val="DefaultParagraphFont"/>
    <w:link w:val="CommentText"/>
    <w:uiPriority w:val="99"/>
    <w:rsid w:val="00F74878"/>
    <w:rPr>
      <w:sz w:val="20"/>
      <w:szCs w:val="20"/>
    </w:rPr>
  </w:style>
  <w:style w:type="paragraph" w:styleId="CommentSubject">
    <w:name w:val="annotation subject"/>
    <w:basedOn w:val="CommentText"/>
    <w:next w:val="CommentText"/>
    <w:link w:val="CommentSubjectChar"/>
    <w:uiPriority w:val="99"/>
    <w:semiHidden/>
    <w:unhideWhenUsed/>
    <w:rsid w:val="00F74878"/>
    <w:rPr>
      <w:b/>
      <w:bCs/>
    </w:rPr>
  </w:style>
  <w:style w:type="character" w:customStyle="1" w:styleId="CommentSubjectChar">
    <w:name w:val="Comment Subject Char"/>
    <w:basedOn w:val="CommentTextChar"/>
    <w:link w:val="CommentSubject"/>
    <w:uiPriority w:val="99"/>
    <w:semiHidden/>
    <w:rsid w:val="00F74878"/>
    <w:rPr>
      <w:b/>
      <w:bCs/>
      <w:sz w:val="20"/>
      <w:szCs w:val="20"/>
    </w:rPr>
  </w:style>
  <w:style w:type="paragraph" w:styleId="BalloonText">
    <w:name w:val="Balloon Text"/>
    <w:basedOn w:val="Normal"/>
    <w:link w:val="BalloonTextChar"/>
    <w:uiPriority w:val="99"/>
    <w:semiHidden/>
    <w:unhideWhenUsed/>
    <w:rsid w:val="00F74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878"/>
    <w:rPr>
      <w:rFonts w:ascii="Segoe UI" w:hAnsi="Segoe UI" w:cs="Segoe UI"/>
      <w:sz w:val="18"/>
      <w:szCs w:val="18"/>
    </w:rPr>
  </w:style>
  <w:style w:type="paragraph" w:styleId="Revision">
    <w:name w:val="Revision"/>
    <w:hidden/>
    <w:uiPriority w:val="99"/>
    <w:semiHidden/>
    <w:rsid w:val="00AA65CE"/>
    <w:pPr>
      <w:spacing w:after="0" w:line="240" w:lineRule="auto"/>
    </w:pPr>
  </w:style>
  <w:style w:type="table" w:styleId="TableGrid">
    <w:name w:val="Table Grid"/>
    <w:basedOn w:val="TableNormal"/>
    <w:uiPriority w:val="39"/>
    <w:rsid w:val="00E34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3">
    <w:name w:val="Normal Indent 3"/>
    <w:basedOn w:val="Normal"/>
    <w:link w:val="NormalIndent3Char"/>
    <w:rsid w:val="0061755F"/>
    <w:pPr>
      <w:spacing w:after="240" w:line="240" w:lineRule="auto"/>
      <w:ind w:left="720"/>
    </w:pPr>
    <w:rPr>
      <w:rFonts w:ascii="Arial" w:eastAsia="Times New Roman" w:hAnsi="Arial" w:cs="Times New Roman"/>
      <w:szCs w:val="20"/>
      <w:lang w:eastAsia="en-GB"/>
    </w:rPr>
  </w:style>
  <w:style w:type="character" w:customStyle="1" w:styleId="NormalIndent3Char">
    <w:name w:val="Normal Indent 3 Char"/>
    <w:link w:val="NormalIndent3"/>
    <w:rsid w:val="0061755F"/>
    <w:rPr>
      <w:rFonts w:ascii="Arial" w:eastAsia="Times New Roman" w:hAnsi="Arial" w:cs="Times New Roman"/>
      <w:szCs w:val="20"/>
      <w:lang w:eastAsia="en-GB"/>
    </w:rPr>
  </w:style>
  <w:style w:type="paragraph" w:styleId="ListBullet">
    <w:name w:val="List Bullet"/>
    <w:basedOn w:val="Normal"/>
    <w:unhideWhenUsed/>
    <w:qFormat/>
    <w:rsid w:val="00A77AED"/>
    <w:pPr>
      <w:numPr>
        <w:ilvl w:val="4"/>
        <w:numId w:val="8"/>
      </w:numPr>
      <w:spacing w:after="240" w:line="240" w:lineRule="auto"/>
      <w:outlineLvl w:val="4"/>
    </w:pPr>
    <w:rPr>
      <w:rFonts w:ascii="Mute" w:eastAsia="Times New Roman" w:hAnsi="Mute" w:cs="Times New Roman"/>
      <w:color w:val="003865"/>
      <w:szCs w:val="20"/>
      <w:lang w:val="en-US"/>
    </w:rPr>
  </w:style>
  <w:style w:type="paragraph" w:styleId="ListBullet2">
    <w:name w:val="List Bullet 2"/>
    <w:basedOn w:val="Normal"/>
    <w:unhideWhenUsed/>
    <w:qFormat/>
    <w:rsid w:val="00A77AED"/>
    <w:pPr>
      <w:numPr>
        <w:ilvl w:val="5"/>
        <w:numId w:val="8"/>
      </w:numPr>
      <w:spacing w:after="240" w:line="240" w:lineRule="auto"/>
      <w:outlineLvl w:val="5"/>
    </w:pPr>
    <w:rPr>
      <w:rFonts w:ascii="Mute" w:eastAsia="Times New Roman" w:hAnsi="Mute" w:cs="Times New Roman"/>
      <w:color w:val="003865"/>
      <w:szCs w:val="20"/>
      <w:lang w:val="en-US"/>
    </w:rPr>
  </w:style>
  <w:style w:type="paragraph" w:styleId="ListBullet3">
    <w:name w:val="List Bullet 3"/>
    <w:basedOn w:val="Normal"/>
    <w:unhideWhenUsed/>
    <w:qFormat/>
    <w:rsid w:val="00A77AED"/>
    <w:pPr>
      <w:numPr>
        <w:ilvl w:val="6"/>
        <w:numId w:val="8"/>
      </w:numPr>
      <w:spacing w:after="240" w:line="240" w:lineRule="auto"/>
      <w:outlineLvl w:val="6"/>
    </w:pPr>
    <w:rPr>
      <w:rFonts w:ascii="Mute" w:eastAsia="Times New Roman" w:hAnsi="Mute" w:cs="Times New Roman"/>
      <w:color w:val="003865"/>
      <w:szCs w:val="20"/>
      <w:lang w:val="en-US"/>
    </w:rPr>
  </w:style>
  <w:style w:type="paragraph" w:styleId="ListBullet4">
    <w:name w:val="List Bullet 4"/>
    <w:basedOn w:val="Normal"/>
    <w:unhideWhenUsed/>
    <w:qFormat/>
    <w:rsid w:val="00A77AED"/>
    <w:pPr>
      <w:numPr>
        <w:ilvl w:val="7"/>
        <w:numId w:val="8"/>
      </w:numPr>
      <w:spacing w:after="240" w:line="240" w:lineRule="auto"/>
      <w:outlineLvl w:val="7"/>
    </w:pPr>
    <w:rPr>
      <w:rFonts w:ascii="Mute" w:eastAsia="Times New Roman" w:hAnsi="Mute" w:cs="Times New Roman"/>
      <w:color w:val="003865"/>
      <w:szCs w:val="20"/>
      <w:lang w:val="en-US"/>
    </w:rPr>
  </w:style>
  <w:style w:type="paragraph" w:customStyle="1" w:styleId="RTC-Normaltext">
    <w:name w:val="RTC - Normal text"/>
    <w:basedOn w:val="Normal"/>
    <w:link w:val="RTC-NormaltextChar"/>
    <w:qFormat/>
    <w:rsid w:val="0013195E"/>
    <w:pPr>
      <w:suppressAutoHyphens/>
      <w:spacing w:after="240" w:line="240" w:lineRule="auto"/>
    </w:pPr>
    <w:rPr>
      <w:rFonts w:ascii="Arial" w:eastAsia="Times New Roman" w:hAnsi="Arial" w:cs="Arial"/>
      <w:lang w:eastAsia="en-GB"/>
    </w:rPr>
  </w:style>
  <w:style w:type="character" w:customStyle="1" w:styleId="RTC-NormaltextChar">
    <w:name w:val="RTC - Normal text Char"/>
    <w:basedOn w:val="DefaultParagraphFont"/>
    <w:link w:val="RTC-Normaltext"/>
    <w:rsid w:val="0013195E"/>
    <w:rPr>
      <w:rFonts w:ascii="Arial" w:eastAsia="Times New Roman" w:hAnsi="Arial" w:cs="Arial"/>
      <w:lang w:eastAsia="en-GB"/>
    </w:rPr>
  </w:style>
  <w:style w:type="character" w:styleId="Hyperlink">
    <w:name w:val="Hyperlink"/>
    <w:basedOn w:val="DefaultParagraphFont"/>
    <w:uiPriority w:val="99"/>
    <w:semiHidden/>
    <w:unhideWhenUsed/>
    <w:rsid w:val="00D74FC9"/>
    <w:rPr>
      <w:color w:val="0000FF"/>
      <w:u w:val="single"/>
    </w:rPr>
  </w:style>
  <w:style w:type="character" w:styleId="FollowedHyperlink">
    <w:name w:val="FollowedHyperlink"/>
    <w:basedOn w:val="DefaultParagraphFont"/>
    <w:uiPriority w:val="99"/>
    <w:semiHidden/>
    <w:unhideWhenUsed/>
    <w:rsid w:val="00F24306"/>
    <w:rPr>
      <w:color w:val="954F72" w:themeColor="followedHyperlink"/>
      <w:u w:val="single"/>
    </w:rPr>
  </w:style>
  <w:style w:type="paragraph" w:customStyle="1" w:styleId="Default">
    <w:name w:val="Default"/>
    <w:rsid w:val="002E0CB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E0CB1"/>
    <w:pPr>
      <w:tabs>
        <w:tab w:val="center" w:pos="4252"/>
        <w:tab w:val="right" w:pos="8504"/>
      </w:tabs>
      <w:spacing w:after="0" w:line="240" w:lineRule="auto"/>
    </w:pPr>
  </w:style>
  <w:style w:type="character" w:customStyle="1" w:styleId="HeaderChar">
    <w:name w:val="Header Char"/>
    <w:basedOn w:val="DefaultParagraphFont"/>
    <w:link w:val="Header"/>
    <w:uiPriority w:val="99"/>
    <w:rsid w:val="002E0CB1"/>
  </w:style>
  <w:style w:type="paragraph" w:styleId="Footer">
    <w:name w:val="footer"/>
    <w:basedOn w:val="Normal"/>
    <w:link w:val="FooterChar"/>
    <w:uiPriority w:val="99"/>
    <w:unhideWhenUsed/>
    <w:rsid w:val="002E0CB1"/>
    <w:pPr>
      <w:tabs>
        <w:tab w:val="center" w:pos="4252"/>
        <w:tab w:val="right" w:pos="8504"/>
      </w:tabs>
      <w:spacing w:after="0" w:line="240" w:lineRule="auto"/>
    </w:pPr>
  </w:style>
  <w:style w:type="character" w:customStyle="1" w:styleId="FooterChar">
    <w:name w:val="Footer Char"/>
    <w:basedOn w:val="DefaultParagraphFont"/>
    <w:link w:val="Footer"/>
    <w:uiPriority w:val="99"/>
    <w:rsid w:val="002E0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17839">
      <w:bodyDiv w:val="1"/>
      <w:marLeft w:val="0"/>
      <w:marRight w:val="0"/>
      <w:marTop w:val="0"/>
      <w:marBottom w:val="0"/>
      <w:divBdr>
        <w:top w:val="none" w:sz="0" w:space="0" w:color="auto"/>
        <w:left w:val="none" w:sz="0" w:space="0" w:color="auto"/>
        <w:bottom w:val="none" w:sz="0" w:space="0" w:color="auto"/>
        <w:right w:val="none" w:sz="0" w:space="0" w:color="auto"/>
      </w:divBdr>
    </w:div>
    <w:div w:id="329140259">
      <w:bodyDiv w:val="1"/>
      <w:marLeft w:val="0"/>
      <w:marRight w:val="0"/>
      <w:marTop w:val="0"/>
      <w:marBottom w:val="0"/>
      <w:divBdr>
        <w:top w:val="none" w:sz="0" w:space="0" w:color="auto"/>
        <w:left w:val="none" w:sz="0" w:space="0" w:color="auto"/>
        <w:bottom w:val="none" w:sz="0" w:space="0" w:color="auto"/>
        <w:right w:val="none" w:sz="0" w:space="0" w:color="auto"/>
      </w:divBdr>
    </w:div>
    <w:div w:id="454759366">
      <w:bodyDiv w:val="1"/>
      <w:marLeft w:val="0"/>
      <w:marRight w:val="0"/>
      <w:marTop w:val="0"/>
      <w:marBottom w:val="0"/>
      <w:divBdr>
        <w:top w:val="none" w:sz="0" w:space="0" w:color="auto"/>
        <w:left w:val="none" w:sz="0" w:space="0" w:color="auto"/>
        <w:bottom w:val="none" w:sz="0" w:space="0" w:color="auto"/>
        <w:right w:val="none" w:sz="0" w:space="0" w:color="auto"/>
      </w:divBdr>
    </w:div>
    <w:div w:id="80231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3CDCA-E7AD-42C1-BB7E-425C7A79B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Lauren</dc:creator>
  <cp:keywords/>
  <dc:description/>
  <cp:lastModifiedBy>Winfield, Mark</cp:lastModifiedBy>
  <cp:revision>3</cp:revision>
  <cp:lastPrinted>2021-04-30T18:07:00Z</cp:lastPrinted>
  <dcterms:created xsi:type="dcterms:W3CDTF">2024-05-31T15:15:00Z</dcterms:created>
  <dcterms:modified xsi:type="dcterms:W3CDTF">2024-10-29T13:21:00Z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2022-04-27T13:19:02Z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43ccb54b-dd15-42b2-9c69-7e23eea87194</vt:lpwstr>
  </property>
  <property fmtid="{D5CDD505-2E9C-101B-9397-08002B2CF9AE}" pid="8" name="MSIP_Label_38f1469a-2c2a-4aee-b92b-090d4c5468ff_ContentBits">
    <vt:lpwstr>0</vt:lpwstr>
  </property>
  <property fmtid="{D5CDD505-2E9C-101B-9397-08002B2CF9AE}" pid="9" name="MPR_DocID">
    <vt:lpwstr>7b0b8451ad364ffc8d1a7e924f9943f2</vt:lpwstr>
  </property>
  <property fmtid="{D5CDD505-2E9C-101B-9397-08002B2CF9AE}" pid="10" name="MSIP_Label_68104b14-b53d-46de-9ae8-975cc0e84815_Enabled">
    <vt:lpwstr>true</vt:lpwstr>
  </property>
  <property fmtid="{D5CDD505-2E9C-101B-9397-08002B2CF9AE}" pid="11" name="MSIP_Label_68104b14-b53d-46de-9ae8-975cc0e84815_SetDate">
    <vt:lpwstr>2024-05-31T15:15:55Z</vt:lpwstr>
  </property>
  <property fmtid="{D5CDD505-2E9C-101B-9397-08002B2CF9AE}" pid="12" name="MSIP_Label_68104b14-b53d-46de-9ae8-975cc0e84815_Method">
    <vt:lpwstr>Standard</vt:lpwstr>
  </property>
  <property fmtid="{D5CDD505-2E9C-101B-9397-08002B2CF9AE}" pid="13" name="MSIP_Label_68104b14-b53d-46de-9ae8-975cc0e84815_Name">
    <vt:lpwstr>ABI_MIP_InternalUseOnly</vt:lpwstr>
  </property>
  <property fmtid="{D5CDD505-2E9C-101B-9397-08002B2CF9AE}" pid="14" name="MSIP_Label_68104b14-b53d-46de-9ae8-975cc0e84815_SiteId">
    <vt:lpwstr>cef04b19-7776-4a94-b89b-375c77a8f936</vt:lpwstr>
  </property>
  <property fmtid="{D5CDD505-2E9C-101B-9397-08002B2CF9AE}" pid="15" name="MSIP_Label_68104b14-b53d-46de-9ae8-975cc0e84815_ActionId">
    <vt:lpwstr>3e9fca08-fec4-45cc-8ded-7cd81dd63f02</vt:lpwstr>
  </property>
  <property fmtid="{D5CDD505-2E9C-101B-9397-08002B2CF9AE}" pid="16" name="MSIP_Label_68104b14-b53d-46de-9ae8-975cc0e84815_ContentBits">
    <vt:lpwstr>0</vt:lpwstr>
  </property>
</Properties>
</file>